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2D0102">
        <w:rPr>
          <w:sz w:val="24"/>
          <w:szCs w:val="24"/>
        </w:rPr>
        <w:t>February 1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2D0102">
        <w:rPr>
          <w:sz w:val="24"/>
          <w:szCs w:val="24"/>
        </w:rPr>
        <w:t xml:space="preserve"> at 12:03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2D0102">
        <w:rPr>
          <w:sz w:val="24"/>
          <w:szCs w:val="24"/>
        </w:rPr>
        <w:t>38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8A7C44" w:rsidRDefault="00E67B8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6C036E">
        <w:rPr>
          <w:sz w:val="24"/>
          <w:szCs w:val="24"/>
        </w:rPr>
        <w:t>Greg Lavarder</w:t>
      </w:r>
      <w:r w:rsidR="002D0102">
        <w:rPr>
          <w:sz w:val="24"/>
          <w:szCs w:val="24"/>
        </w:rPr>
        <w:t xml:space="preserve">a of Warm Foam Insulation Slab Forms. Greg spoke about the proper methods to install the forms for code compliance. </w:t>
      </w:r>
    </w:p>
    <w:p w:rsidR="002D0102" w:rsidRPr="008A7C44" w:rsidRDefault="002D0102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9C6F9C" w:rsidRDefault="006A7FE7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C5500B">
        <w:rPr>
          <w:sz w:val="24"/>
          <w:szCs w:val="24"/>
        </w:rPr>
        <w:t xml:space="preserve">A thank you letter was received from the </w:t>
      </w:r>
      <w:r w:rsidR="000C6F88">
        <w:rPr>
          <w:sz w:val="24"/>
          <w:szCs w:val="24"/>
        </w:rPr>
        <w:t xml:space="preserve">Sunshine Foundation thanking our organization for the generous donation which will be used to send Andrew to California </w:t>
      </w:r>
      <w:r w:rsidR="00954693">
        <w:rPr>
          <w:sz w:val="24"/>
          <w:szCs w:val="24"/>
        </w:rPr>
        <w:t xml:space="preserve">for </w:t>
      </w:r>
      <w:r w:rsidR="000C6F88">
        <w:rPr>
          <w:sz w:val="24"/>
          <w:szCs w:val="24"/>
        </w:rPr>
        <w:t>the National Organization for Albinism and Hypopigmentation</w:t>
      </w:r>
      <w:r w:rsidR="00954693">
        <w:rPr>
          <w:sz w:val="24"/>
          <w:szCs w:val="24"/>
        </w:rPr>
        <w:t xml:space="preserve"> conference</w:t>
      </w:r>
      <w:r w:rsidR="000C6F88">
        <w:rPr>
          <w:sz w:val="24"/>
          <w:szCs w:val="24"/>
        </w:rPr>
        <w:t xml:space="preserve">. </w:t>
      </w:r>
    </w:p>
    <w:p w:rsidR="000C6F88" w:rsidRDefault="000C6F88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We also received a letter from our guest </w:t>
      </w:r>
      <w:r w:rsidR="00954693">
        <w:rPr>
          <w:sz w:val="24"/>
          <w:szCs w:val="24"/>
        </w:rPr>
        <w:t>engineering</w:t>
      </w:r>
      <w:r>
        <w:rPr>
          <w:sz w:val="24"/>
          <w:szCs w:val="24"/>
        </w:rPr>
        <w:t xml:space="preserve"> student Danny thanking us for the invitation and to tell us how much he enjoyed hearing the </w:t>
      </w:r>
      <w:r w:rsidR="00954693">
        <w:rPr>
          <w:sz w:val="24"/>
          <w:szCs w:val="24"/>
        </w:rPr>
        <w:t>code discussions.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2D0102">
        <w:rPr>
          <w:sz w:val="24"/>
          <w:szCs w:val="24"/>
        </w:rPr>
        <w:t xml:space="preserve">March </w:t>
      </w:r>
      <w:r w:rsidR="00E95C1E">
        <w:rPr>
          <w:sz w:val="24"/>
          <w:szCs w:val="24"/>
        </w:rPr>
        <w:t>1</w:t>
      </w:r>
      <w:r w:rsidR="002D0102">
        <w:rPr>
          <w:sz w:val="24"/>
          <w:szCs w:val="24"/>
        </w:rPr>
        <w:t xml:space="preserve"> guest speaker will be Michael Shell – Delta Dry Ventilation Screen. Michael will be discussing the ventilated screen application requirements for adhered stone and conventional stucco.</w:t>
      </w:r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C5500B">
        <w:rPr>
          <w:sz w:val="24"/>
          <w:szCs w:val="24"/>
        </w:rPr>
        <w:t>65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New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No Report 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Pr="008A7C44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Adam Gee will be the new chairman.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 xml:space="preserve">Please provide any job postings to our webmaster Joe Voacola.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 xml:space="preserve">The date for the golf outing will be June 8 @ Mercer Oaks. More details </w:t>
      </w:r>
      <w:r w:rsidR="00C5500B">
        <w:rPr>
          <w:sz w:val="24"/>
          <w:szCs w:val="24"/>
        </w:rPr>
        <w:t xml:space="preserve">to </w:t>
      </w:r>
      <w:r w:rsidR="00AA1220">
        <w:rPr>
          <w:sz w:val="24"/>
          <w:szCs w:val="24"/>
        </w:rPr>
        <w:t>follow.</w:t>
      </w:r>
      <w:r w:rsidR="00C5500B">
        <w:rPr>
          <w:sz w:val="24"/>
          <w:szCs w:val="24"/>
        </w:rPr>
        <w:t xml:space="preserve"> The committee is looking for volunteers to help with our biggest fund raising event.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  <w:t xml:space="preserve">The Chairman of the electrical board has clarified the licensing </w:t>
      </w:r>
      <w:r w:rsidR="00F82AB2">
        <w:rPr>
          <w:sz w:val="24"/>
          <w:szCs w:val="24"/>
        </w:rPr>
        <w:t>classifications</w:t>
      </w:r>
      <w:r w:rsidR="00CD776C">
        <w:rPr>
          <w:sz w:val="24"/>
          <w:szCs w:val="24"/>
        </w:rPr>
        <w:t xml:space="preserve">. Class A Journeyman. Class A Electrical Apprentice. Class B Wireman.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144C1" w:rsidRPr="008A7C4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B27A3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CD776C">
        <w:rPr>
          <w:sz w:val="24"/>
          <w:szCs w:val="24"/>
        </w:rPr>
        <w:t>Building Safety Week will be May 3, 4 &amp; 5 in Atlantic City. More details to follow.</w:t>
      </w:r>
    </w:p>
    <w:p w:rsidR="008A1288" w:rsidRDefault="008A1288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bookmarkStart w:id="0" w:name="_GoBack"/>
      <w:bookmarkEnd w:id="0"/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2:</w:t>
      </w:r>
      <w:r w:rsidR="00CD776C">
        <w:rPr>
          <w:sz w:val="24"/>
          <w:szCs w:val="24"/>
        </w:rPr>
        <w:t>08</w:t>
      </w:r>
      <w:r w:rsidR="00911F3E">
        <w:rPr>
          <w:sz w:val="24"/>
          <w:szCs w:val="24"/>
        </w:rPr>
        <w:t xml:space="preserve"> 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C6F88"/>
    <w:rsid w:val="001B0D17"/>
    <w:rsid w:val="001B59DF"/>
    <w:rsid w:val="002D0102"/>
    <w:rsid w:val="002F4D7E"/>
    <w:rsid w:val="00304B0A"/>
    <w:rsid w:val="0030506C"/>
    <w:rsid w:val="00306876"/>
    <w:rsid w:val="003254E1"/>
    <w:rsid w:val="0035253E"/>
    <w:rsid w:val="003A2418"/>
    <w:rsid w:val="00410EF0"/>
    <w:rsid w:val="00434B4E"/>
    <w:rsid w:val="00487915"/>
    <w:rsid w:val="004B19F1"/>
    <w:rsid w:val="004B4DB2"/>
    <w:rsid w:val="004D16E4"/>
    <w:rsid w:val="004F5632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45BF9"/>
    <w:rsid w:val="00647A25"/>
    <w:rsid w:val="0065238C"/>
    <w:rsid w:val="006571F5"/>
    <w:rsid w:val="006742E1"/>
    <w:rsid w:val="006851AB"/>
    <w:rsid w:val="006A7FE7"/>
    <w:rsid w:val="006B7DE0"/>
    <w:rsid w:val="006C036E"/>
    <w:rsid w:val="006E309C"/>
    <w:rsid w:val="007129CB"/>
    <w:rsid w:val="00736287"/>
    <w:rsid w:val="0074590C"/>
    <w:rsid w:val="007601DE"/>
    <w:rsid w:val="007604FE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4693"/>
    <w:rsid w:val="00962D1A"/>
    <w:rsid w:val="00976606"/>
    <w:rsid w:val="009B27A3"/>
    <w:rsid w:val="009C6F9C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C3762F"/>
    <w:rsid w:val="00C42FC1"/>
    <w:rsid w:val="00C5500B"/>
    <w:rsid w:val="00CC5A61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5C1E"/>
    <w:rsid w:val="00ED1660"/>
    <w:rsid w:val="00F144C1"/>
    <w:rsid w:val="00F20B11"/>
    <w:rsid w:val="00F37BEE"/>
    <w:rsid w:val="00F71BB0"/>
    <w:rsid w:val="00F82AB2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3FE21670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9</cp:revision>
  <cp:lastPrinted>2022-01-25T20:44:00Z</cp:lastPrinted>
  <dcterms:created xsi:type="dcterms:W3CDTF">2023-02-03T14:31:00Z</dcterms:created>
  <dcterms:modified xsi:type="dcterms:W3CDTF">2023-02-21T14:20:00Z</dcterms:modified>
</cp:coreProperties>
</file>