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BB2155">
        <w:rPr>
          <w:sz w:val="24"/>
          <w:szCs w:val="24"/>
        </w:rPr>
        <w:t xml:space="preserve">Rich </w:t>
      </w:r>
      <w:r w:rsidR="00304B0A" w:rsidRPr="008A7C44">
        <w:rPr>
          <w:sz w:val="24"/>
          <w:szCs w:val="24"/>
        </w:rPr>
        <w:t>Perlman</w:t>
      </w:r>
      <w:r w:rsidR="00E833DE" w:rsidRPr="008A7C44">
        <w:rPr>
          <w:sz w:val="24"/>
          <w:szCs w:val="24"/>
        </w:rPr>
        <w:t xml:space="preserve"> called the meeting to order on </w:t>
      </w:r>
      <w:r w:rsidR="009F079D">
        <w:rPr>
          <w:sz w:val="24"/>
          <w:szCs w:val="24"/>
        </w:rPr>
        <w:t>October 4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CD0E01">
        <w:rPr>
          <w:sz w:val="24"/>
          <w:szCs w:val="24"/>
        </w:rPr>
        <w:t>3</w:t>
      </w:r>
      <w:r w:rsidR="00765DDB">
        <w:rPr>
          <w:sz w:val="24"/>
          <w:szCs w:val="24"/>
        </w:rPr>
        <w:t xml:space="preserve"> at 12:</w:t>
      </w:r>
      <w:r w:rsidR="009F079D">
        <w:rPr>
          <w:sz w:val="24"/>
          <w:szCs w:val="24"/>
        </w:rPr>
        <w:t>07</w:t>
      </w:r>
      <w:r w:rsidR="002D0102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9F079D">
        <w:rPr>
          <w:sz w:val="24"/>
          <w:szCs w:val="24"/>
        </w:rPr>
        <w:t>31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2D0102" w:rsidRDefault="00E67B8B" w:rsidP="004F7B0F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FF6330">
        <w:rPr>
          <w:sz w:val="24"/>
          <w:szCs w:val="24"/>
        </w:rPr>
        <w:t>Christina Tamborell, Holly Foster and Allison Chris Myres of the Civil Service Commission.</w:t>
      </w:r>
      <w:r w:rsidR="00602EE8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 xml:space="preserve"> </w:t>
      </w:r>
      <w:r w:rsidR="00FF6330">
        <w:rPr>
          <w:sz w:val="24"/>
          <w:szCs w:val="24"/>
        </w:rPr>
        <w:t>Also in attendance were Charles Nieves &amp; Verlensky Joachim who are License Examiners with the DCA.</w:t>
      </w:r>
    </w:p>
    <w:p w:rsidR="001F679D" w:rsidRPr="008A7C44" w:rsidRDefault="001F679D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8A7C44" w:rsidRPr="008A7C44">
        <w:rPr>
          <w:sz w:val="24"/>
          <w:szCs w:val="24"/>
        </w:rPr>
        <w:t xml:space="preserve"> 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0C6F88" w:rsidRDefault="006A7FE7" w:rsidP="001F679D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</w:t>
      </w:r>
      <w:r w:rsidR="001F679D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>Read by Treasurer Joe Voacola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6851AB">
        <w:rPr>
          <w:sz w:val="24"/>
          <w:szCs w:val="24"/>
        </w:rPr>
        <w:t xml:space="preserve"> 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FF6330">
        <w:rPr>
          <w:sz w:val="24"/>
          <w:szCs w:val="24"/>
        </w:rPr>
        <w:t xml:space="preserve">Joe Reilly – Royal Building Products. </w:t>
      </w:r>
      <w:r w:rsidR="00383DCB">
        <w:rPr>
          <w:sz w:val="24"/>
          <w:szCs w:val="24"/>
        </w:rPr>
        <w:t>Joe will be speaking about Royal products that include roofing, siding, deckin</w:t>
      </w:r>
      <w:r w:rsidR="00044396">
        <w:rPr>
          <w:sz w:val="24"/>
          <w:szCs w:val="24"/>
        </w:rPr>
        <w:t xml:space="preserve">g, </w:t>
      </w:r>
      <w:r w:rsidR="00044396">
        <w:rPr>
          <w:sz w:val="24"/>
          <w:szCs w:val="24"/>
        </w:rPr>
        <w:t>exterior trim</w:t>
      </w:r>
      <w:r w:rsidR="00044396">
        <w:rPr>
          <w:sz w:val="24"/>
          <w:szCs w:val="24"/>
        </w:rPr>
        <w:t xml:space="preserve"> and composite stone.</w:t>
      </w:r>
    </w:p>
    <w:p w:rsidR="002B4EC3" w:rsidRPr="008A7C44" w:rsidRDefault="002B4EC3" w:rsidP="008C3DD6">
      <w:pPr>
        <w:rPr>
          <w:sz w:val="24"/>
          <w:szCs w:val="24"/>
        </w:rPr>
      </w:pPr>
    </w:p>
    <w:p w:rsidR="002B4EC3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paid in full to date. </w:t>
      </w:r>
      <w:r w:rsidR="006851AB">
        <w:rPr>
          <w:sz w:val="24"/>
          <w:szCs w:val="24"/>
        </w:rPr>
        <w:t>1</w:t>
      </w:r>
      <w:r w:rsidR="00383DCB">
        <w:rPr>
          <w:sz w:val="24"/>
          <w:szCs w:val="24"/>
        </w:rPr>
        <w:t>38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6851AB">
        <w:rPr>
          <w:sz w:val="24"/>
          <w:szCs w:val="24"/>
        </w:rPr>
        <w:t xml:space="preserve"> 22</w:t>
      </w:r>
    </w:p>
    <w:p w:rsidR="00E833DE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Associate</w:t>
      </w:r>
      <w:r w:rsidR="00E81674" w:rsidRPr="008A7C44">
        <w:rPr>
          <w:sz w:val="24"/>
          <w:szCs w:val="24"/>
        </w:rPr>
        <w:t xml:space="preserve"> Member</w:t>
      </w:r>
      <w:r w:rsidR="004D16E4">
        <w:rPr>
          <w:sz w:val="24"/>
          <w:szCs w:val="24"/>
        </w:rPr>
        <w:t>s</w:t>
      </w:r>
      <w:r w:rsidR="00E81674" w:rsidRPr="008A7C44">
        <w:rPr>
          <w:sz w:val="24"/>
          <w:szCs w:val="24"/>
        </w:rPr>
        <w:t xml:space="preserve">: </w:t>
      </w:r>
      <w:r w:rsidR="00383DCB">
        <w:rPr>
          <w:sz w:val="24"/>
          <w:szCs w:val="24"/>
        </w:rPr>
        <w:t>35</w:t>
      </w:r>
    </w:p>
    <w:p w:rsidR="00C5500B" w:rsidRPr="008A7C44" w:rsidRDefault="00C5500B" w:rsidP="009C6F9C">
      <w:pPr>
        <w:rPr>
          <w:sz w:val="24"/>
          <w:szCs w:val="24"/>
        </w:rPr>
      </w:pP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  <w:bookmarkStart w:id="0" w:name="_GoBack"/>
      <w:bookmarkEnd w:id="0"/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03050A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C5500B">
        <w:rPr>
          <w:sz w:val="24"/>
          <w:szCs w:val="24"/>
        </w:rPr>
        <w:t xml:space="preserve"> </w:t>
      </w:r>
      <w:r w:rsidR="00383DCB">
        <w:rPr>
          <w:sz w:val="24"/>
          <w:szCs w:val="24"/>
        </w:rPr>
        <w:t>Our long time member, colleague and friend Tony Scelsa passed away at home on October 2, 2024. CJCOA will send a $50.00 donation to St. Jude’s Hospital in Tony’s name.</w:t>
      </w:r>
    </w:p>
    <w:p w:rsidR="00C5500B" w:rsidRPr="008A7C44" w:rsidRDefault="00C5500B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Facebook is active and there are postings every so often.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C5500B">
        <w:rPr>
          <w:sz w:val="24"/>
          <w:szCs w:val="24"/>
        </w:rPr>
        <w:t>No Report</w:t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6851AB">
        <w:rPr>
          <w:sz w:val="24"/>
          <w:szCs w:val="24"/>
        </w:rPr>
        <w:t xml:space="preserve"> </w:t>
      </w:r>
      <w:r w:rsidR="00383DCB">
        <w:rPr>
          <w:sz w:val="24"/>
          <w:szCs w:val="24"/>
        </w:rPr>
        <w:t>The 2023 NEC may skip a cycle and adopt the 2026 NEC when approved.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lastRenderedPageBreak/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6851AB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Default="00A94427" w:rsidP="0069688E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4D16E4">
        <w:rPr>
          <w:sz w:val="24"/>
          <w:szCs w:val="24"/>
        </w:rPr>
        <w:t xml:space="preserve"> No Report</w:t>
      </w:r>
    </w:p>
    <w:p w:rsidR="008453D3" w:rsidRPr="008A7C44" w:rsidRDefault="008453D3" w:rsidP="0069688E">
      <w:pPr>
        <w:ind w:firstLine="720"/>
        <w:rPr>
          <w:sz w:val="24"/>
          <w:szCs w:val="24"/>
        </w:rPr>
      </w:pPr>
    </w:p>
    <w:p w:rsidR="009B27A3" w:rsidRPr="008A7C44" w:rsidRDefault="009B27A3" w:rsidP="008C3DD6">
      <w:pPr>
        <w:rPr>
          <w:sz w:val="24"/>
          <w:szCs w:val="24"/>
        </w:rPr>
      </w:pPr>
    </w:p>
    <w:p w:rsidR="009C6F9C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3F523E">
        <w:rPr>
          <w:sz w:val="24"/>
          <w:szCs w:val="24"/>
        </w:rPr>
        <w:t xml:space="preserve">John White – President. Joe Voacola – Vice President. Nick </w:t>
      </w:r>
      <w:r w:rsidR="001D7B76">
        <w:rPr>
          <w:sz w:val="24"/>
          <w:szCs w:val="24"/>
        </w:rPr>
        <w:t>Van Wagner</w:t>
      </w:r>
      <w:r w:rsidR="003F523E">
        <w:rPr>
          <w:sz w:val="24"/>
          <w:szCs w:val="24"/>
        </w:rPr>
        <w:t xml:space="preserve"> – Treasurer. Frank Oliveti –Secretary (floor nomination) </w:t>
      </w:r>
    </w:p>
    <w:p w:rsidR="008453D3" w:rsidRDefault="008453D3" w:rsidP="008C3DD6">
      <w:pPr>
        <w:rPr>
          <w:sz w:val="24"/>
          <w:szCs w:val="24"/>
        </w:rPr>
      </w:pPr>
    </w:p>
    <w:p w:rsidR="008453D3" w:rsidRPr="008A7C44" w:rsidRDefault="008453D3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Building Safety Week: </w:t>
      </w:r>
      <w:r w:rsidR="002B4EC3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F523E" w:rsidRDefault="003F523E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Scholarship Committee: (2) College or Trade School </w:t>
      </w:r>
      <w:r w:rsidR="001D7B76">
        <w:rPr>
          <w:sz w:val="24"/>
          <w:szCs w:val="24"/>
        </w:rPr>
        <w:t>scholarships</w:t>
      </w:r>
      <w:r>
        <w:rPr>
          <w:sz w:val="24"/>
          <w:szCs w:val="24"/>
        </w:rPr>
        <w:t xml:space="preserve"> and (1) High School Merit </w:t>
      </w:r>
      <w:r w:rsidR="00FB098C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will be awarded this year. Please go</w:t>
      </w:r>
      <w:r w:rsidR="001D7B76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CJCOA.org for the downloadable version.    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35253E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3F523E">
        <w:rPr>
          <w:sz w:val="24"/>
          <w:szCs w:val="24"/>
        </w:rPr>
        <w:t>The ABM year date will be corrected</w:t>
      </w:r>
      <w:r w:rsidR="00FB098C">
        <w:rPr>
          <w:sz w:val="24"/>
          <w:szCs w:val="24"/>
        </w:rPr>
        <w:t xml:space="preserve"> on the website</w:t>
      </w:r>
      <w:r w:rsidR="003F523E">
        <w:rPr>
          <w:sz w:val="24"/>
          <w:szCs w:val="24"/>
        </w:rPr>
        <w:t>.</w:t>
      </w:r>
    </w:p>
    <w:p w:rsidR="00C5500B" w:rsidRPr="008A7C44" w:rsidRDefault="00C5500B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FB098C">
        <w:rPr>
          <w:sz w:val="24"/>
          <w:szCs w:val="24"/>
        </w:rPr>
        <w:t>No Report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911F3E">
        <w:rPr>
          <w:sz w:val="24"/>
          <w:szCs w:val="24"/>
        </w:rPr>
        <w:t>No</w:t>
      </w:r>
      <w:r w:rsidR="004D16E4">
        <w:rPr>
          <w:sz w:val="24"/>
          <w:szCs w:val="24"/>
        </w:rPr>
        <w:t xml:space="preserve">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A1220">
        <w:rPr>
          <w:sz w:val="24"/>
          <w:szCs w:val="24"/>
        </w:rPr>
        <w:t>: No</w:t>
      </w:r>
      <w:r w:rsidR="004D16E4">
        <w:rPr>
          <w:sz w:val="24"/>
          <w:szCs w:val="24"/>
        </w:rPr>
        <w:t xml:space="preserve"> Report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AA1220">
        <w:rPr>
          <w:sz w:val="24"/>
          <w:szCs w:val="24"/>
        </w:rPr>
        <w:t>No</w:t>
      </w:r>
      <w:r w:rsidR="00E4220B">
        <w:rPr>
          <w:sz w:val="24"/>
          <w:szCs w:val="24"/>
        </w:rPr>
        <w:t xml:space="preserve">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CD776C">
        <w:rPr>
          <w:sz w:val="24"/>
          <w:szCs w:val="24"/>
        </w:rPr>
        <w:tab/>
      </w:r>
      <w:r w:rsidR="00466515">
        <w:rPr>
          <w:sz w:val="24"/>
          <w:szCs w:val="24"/>
        </w:rPr>
        <w:t>None</w:t>
      </w:r>
      <w:r w:rsidR="00CD776C">
        <w:rPr>
          <w:sz w:val="24"/>
          <w:szCs w:val="24"/>
        </w:rPr>
        <w:t xml:space="preserve">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B098C" w:rsidRDefault="0035253E" w:rsidP="00FB098C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3F523E">
        <w:rPr>
          <w:sz w:val="24"/>
          <w:szCs w:val="24"/>
        </w:rPr>
        <w:t xml:space="preserve">Contractor Don Caso brought a question to </w:t>
      </w:r>
      <w:r w:rsidR="00FB098C">
        <w:rPr>
          <w:sz w:val="24"/>
          <w:szCs w:val="24"/>
        </w:rPr>
        <w:t xml:space="preserve">the members about the Res-Check </w:t>
      </w:r>
      <w:r w:rsidR="003F523E">
        <w:rPr>
          <w:sz w:val="24"/>
          <w:szCs w:val="24"/>
        </w:rPr>
        <w:t>program and having diffulcty passing with his imputes.</w:t>
      </w:r>
      <w:r w:rsidR="00FB098C">
        <w:rPr>
          <w:sz w:val="24"/>
          <w:szCs w:val="24"/>
        </w:rPr>
        <w:t xml:space="preserve"> The DCA will have in person Seminars in Oct</w:t>
      </w:r>
      <w:r w:rsidR="00466515">
        <w:rPr>
          <w:sz w:val="24"/>
          <w:szCs w:val="24"/>
        </w:rPr>
        <w:t>o</w:t>
      </w:r>
      <w:r w:rsidR="00FB098C">
        <w:rPr>
          <w:sz w:val="24"/>
          <w:szCs w:val="24"/>
        </w:rPr>
        <w:t>ber. Th</w:t>
      </w:r>
      <w:r w:rsidR="00466515">
        <w:rPr>
          <w:sz w:val="24"/>
          <w:szCs w:val="24"/>
        </w:rPr>
        <w:t>e DCA may give Plumbing, Fire, E</w:t>
      </w:r>
      <w:r w:rsidR="00FB098C">
        <w:rPr>
          <w:sz w:val="24"/>
          <w:szCs w:val="24"/>
        </w:rPr>
        <w:t xml:space="preserve">lectric or Mechanical CEU’s for attending CJCOA meetings. John White is in negotiations with Patrick Ryan of the DCA. </w:t>
      </w:r>
    </w:p>
    <w:p w:rsidR="00FB098C" w:rsidRPr="008A7C44" w:rsidRDefault="00FB098C" w:rsidP="00FB098C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679D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3F523E">
        <w:rPr>
          <w:sz w:val="24"/>
          <w:szCs w:val="24"/>
        </w:rPr>
        <w:t>The Executive Board has decided to make Tony Scelsa a “Lifetime Member Posthumously” This award will take place at the ABM.</w:t>
      </w:r>
    </w:p>
    <w:p w:rsidR="00607442" w:rsidRDefault="00607442" w:rsidP="008C3DD6">
      <w:pPr>
        <w:rPr>
          <w:sz w:val="24"/>
          <w:szCs w:val="24"/>
        </w:rPr>
      </w:pPr>
    </w:p>
    <w:p w:rsidR="008A1288" w:rsidRDefault="00E4220B" w:rsidP="008C3DD6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8A1288">
        <w:rPr>
          <w:sz w:val="24"/>
          <w:szCs w:val="24"/>
        </w:rPr>
        <w:t>adjourned:</w:t>
      </w:r>
      <w:r w:rsidR="00AA1220">
        <w:rPr>
          <w:sz w:val="24"/>
          <w:szCs w:val="24"/>
        </w:rPr>
        <w:t xml:space="preserve"> </w:t>
      </w:r>
      <w:r w:rsidR="00607442">
        <w:rPr>
          <w:sz w:val="24"/>
          <w:szCs w:val="24"/>
        </w:rPr>
        <w:t>1:</w:t>
      </w:r>
      <w:r w:rsidR="00FA1DD2">
        <w:rPr>
          <w:sz w:val="24"/>
          <w:szCs w:val="24"/>
        </w:rPr>
        <w:t>25</w:t>
      </w:r>
      <w:r w:rsidR="00607442">
        <w:rPr>
          <w:sz w:val="24"/>
          <w:szCs w:val="24"/>
        </w:rPr>
        <w:t xml:space="preserve"> </w:t>
      </w:r>
      <w:r w:rsidR="00911F3E">
        <w:rPr>
          <w:sz w:val="24"/>
          <w:szCs w:val="24"/>
        </w:rPr>
        <w:t>PM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44396"/>
    <w:rsid w:val="00066D37"/>
    <w:rsid w:val="00073486"/>
    <w:rsid w:val="00092AEE"/>
    <w:rsid w:val="000C6F88"/>
    <w:rsid w:val="001B0D17"/>
    <w:rsid w:val="001B59DF"/>
    <w:rsid w:val="001D7B76"/>
    <w:rsid w:val="001F679D"/>
    <w:rsid w:val="00297052"/>
    <w:rsid w:val="002B4EC3"/>
    <w:rsid w:val="002D0102"/>
    <w:rsid w:val="002F4D7E"/>
    <w:rsid w:val="002F56B3"/>
    <w:rsid w:val="00304B0A"/>
    <w:rsid w:val="0030506C"/>
    <w:rsid w:val="00306876"/>
    <w:rsid w:val="003254E1"/>
    <w:rsid w:val="00337D5B"/>
    <w:rsid w:val="0035253E"/>
    <w:rsid w:val="00383DCB"/>
    <w:rsid w:val="003A2418"/>
    <w:rsid w:val="003D73A2"/>
    <w:rsid w:val="003F523E"/>
    <w:rsid w:val="00410EF0"/>
    <w:rsid w:val="00434B4E"/>
    <w:rsid w:val="00466515"/>
    <w:rsid w:val="00487915"/>
    <w:rsid w:val="004B19F1"/>
    <w:rsid w:val="004B4DB2"/>
    <w:rsid w:val="004D16E4"/>
    <w:rsid w:val="004F5632"/>
    <w:rsid w:val="004F7B0F"/>
    <w:rsid w:val="00510A4B"/>
    <w:rsid w:val="005524E0"/>
    <w:rsid w:val="0059142B"/>
    <w:rsid w:val="0059267F"/>
    <w:rsid w:val="005C610B"/>
    <w:rsid w:val="005D1D53"/>
    <w:rsid w:val="005D7F3B"/>
    <w:rsid w:val="005F3A75"/>
    <w:rsid w:val="00602EE8"/>
    <w:rsid w:val="006060DD"/>
    <w:rsid w:val="00607442"/>
    <w:rsid w:val="00645BF9"/>
    <w:rsid w:val="00647A25"/>
    <w:rsid w:val="0065238C"/>
    <w:rsid w:val="006571F5"/>
    <w:rsid w:val="006742E1"/>
    <w:rsid w:val="006851AB"/>
    <w:rsid w:val="0069688E"/>
    <w:rsid w:val="006A3531"/>
    <w:rsid w:val="006A7FE7"/>
    <w:rsid w:val="006B7DE0"/>
    <w:rsid w:val="006C036E"/>
    <w:rsid w:val="006C0CB2"/>
    <w:rsid w:val="006E309C"/>
    <w:rsid w:val="007129CB"/>
    <w:rsid w:val="00736287"/>
    <w:rsid w:val="0074590C"/>
    <w:rsid w:val="007601DE"/>
    <w:rsid w:val="007604FE"/>
    <w:rsid w:val="00765DDB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453D3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11F3E"/>
    <w:rsid w:val="00913C0D"/>
    <w:rsid w:val="00935D1A"/>
    <w:rsid w:val="00954693"/>
    <w:rsid w:val="00962D1A"/>
    <w:rsid w:val="00976606"/>
    <w:rsid w:val="00982ECB"/>
    <w:rsid w:val="009B27A3"/>
    <w:rsid w:val="009C6F9C"/>
    <w:rsid w:val="009F079D"/>
    <w:rsid w:val="00A05D9D"/>
    <w:rsid w:val="00A21B2E"/>
    <w:rsid w:val="00A3150C"/>
    <w:rsid w:val="00A32460"/>
    <w:rsid w:val="00A424E0"/>
    <w:rsid w:val="00A55219"/>
    <w:rsid w:val="00A56547"/>
    <w:rsid w:val="00A650EE"/>
    <w:rsid w:val="00A94427"/>
    <w:rsid w:val="00AA1220"/>
    <w:rsid w:val="00AA2A5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BC2ECF"/>
    <w:rsid w:val="00C3762F"/>
    <w:rsid w:val="00C42FC1"/>
    <w:rsid w:val="00C5500B"/>
    <w:rsid w:val="00CC5A61"/>
    <w:rsid w:val="00CD0E01"/>
    <w:rsid w:val="00CD776C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41FB8"/>
    <w:rsid w:val="00E4220B"/>
    <w:rsid w:val="00E47C3F"/>
    <w:rsid w:val="00E543C0"/>
    <w:rsid w:val="00E67B8B"/>
    <w:rsid w:val="00E81674"/>
    <w:rsid w:val="00E833DE"/>
    <w:rsid w:val="00E907C5"/>
    <w:rsid w:val="00E95C1E"/>
    <w:rsid w:val="00ED1660"/>
    <w:rsid w:val="00F144C1"/>
    <w:rsid w:val="00F20B11"/>
    <w:rsid w:val="00F37BEE"/>
    <w:rsid w:val="00F71BB0"/>
    <w:rsid w:val="00F82AB2"/>
    <w:rsid w:val="00FA1984"/>
    <w:rsid w:val="00FA1DD2"/>
    <w:rsid w:val="00FB098C"/>
    <w:rsid w:val="00FB1BD6"/>
    <w:rsid w:val="00FC3FFD"/>
    <w:rsid w:val="00FD2968"/>
    <w:rsid w:val="00FD76BC"/>
    <w:rsid w:val="00FF357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16C8DCE7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85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F5530-4CEB-4509-A71D-BF047E84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374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12</cp:revision>
  <cp:lastPrinted>2022-01-25T20:44:00Z</cp:lastPrinted>
  <dcterms:created xsi:type="dcterms:W3CDTF">2023-10-05T18:17:00Z</dcterms:created>
  <dcterms:modified xsi:type="dcterms:W3CDTF">2023-10-11T12:59:00Z</dcterms:modified>
</cp:coreProperties>
</file>